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附件4：</w:t>
      </w:r>
    </w:p>
    <w:p>
      <w:pPr>
        <w:pStyle w:val="4"/>
      </w:pPr>
      <w:bookmarkStart w:id="0" w:name="_GoBack"/>
      <w:r>
        <w:t>《广东省教师资格申请人员体格检查标准》</w:t>
      </w:r>
      <w:bookmarkEnd w:id="0"/>
      <w:r>
        <w:t>（2013年修订）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第一条严重心律失常、各种器质性心脏病伴心功能不全者，不合格；先天性心脏病，经手术治疗或三级医院专科检查明确不需手术治疗者，合格；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（二）每分钟少于6次的偶发期前收缩；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（三）心律每分钟50－110次；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第二条严重血液病，不合格；单纯性缺铁性贫血，Hb≥90g/L，女性高于80g/L，合格。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第三条结核病不合格，但下列情况合格：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（一）原发性肺结核、继发性肺结核、结核性胸膜炎、临床治愈后稳定1年无变化者；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第四条慢性支气管炎伴阻塞性肺气肿、严重支气管扩张、严重支气管哮喘，不合格。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第五条严重溃疡性结肠炎和克隆氏病，不合格。。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第六条各种急慢性肝炎，不合格。慢性肾炎伴有肾功能不全、慢性肾盂肾炎、多囊肾及各种原因所致的慢性肾功能不全，不合格。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第七条I型糖尿病、II型糖尿病伴心、脑、肾、眼及末梢循环等其他器官功能严重受损者、尿崩症、肢端肥大症、甲亢伴严重凸眼且治疗不佳者，不合格。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第八条有癫痫病史、精神病史、各型严重人格障碍、难治性强迫症、癔症等神经症、精神活性物质滥用和依赖者，不合格。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第九条红斑狼疮、皮肌炎和多发性肌炎、硬皮病、结节性多动脉炎、类风湿性关节炎等各种弥漫性结缔组织疾病，大动脉炎，不合格。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第十条晚期血吸虫病，晚期血丝虫病兼有橡皮肿或有乳糜尿，不合格。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第十一条色觉检查异常者，不宜从事美术、化学、生物等以颜色作为技术指标和实验数据的教学岗位。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第十二条两耳听力均在3米以内，或一耳听力在5米另一耳全聋的，不宜从事幼儿教育教学岗位。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第十三条严重口吃，吐字不清，持续声音嘶哑、失声及口腔有生理缺陷并妨碍发音不合格。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第十四条申请认定幼儿园教师资格人员，须如实填写并签名确认既往病史。增加淋球菌、梅毒螺旋体和妇科滴虫、外阴阴道假丝酵母菌（念球菌）检查项目；对出现呼吸系统疑似症状者增加胸片检查项目。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第十五条本体检标准从2013年9月1日起执行，原体检标准自本标准实施之日起废止。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4BA0"/>
    <w:rsid w:val="576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0"/>
    <w:pPr>
      <w:adjustRightInd w:val="0"/>
      <w:snapToGrid w:val="0"/>
      <w:spacing w:line="640" w:lineRule="exact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2022-04-01T06:02:00Z</dcterms:created>
  <dc:creator>况_sir</dc:creator>
  <cp:lastModifiedBy>况_sir</cp:lastModifiedBy>
  <dcterms:modified xsi:type="dcterms:W3CDTF">2022-04-01T06:03:10Z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C65902047FEC423EA627E4DCF95440CB</vt:lpwstr>
  </property>
</Properties>
</file>